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Tutorial</w:t>
      </w:r>
      <w:r w:rsidDel="00000000" w:rsidR="00000000" w:rsidRPr="00000000">
        <w:rPr>
          <w:rFonts w:ascii="Times New Roman" w:cs="Times New Roman" w:eastAsia="Times New Roman" w:hAnsi="Times New Roman"/>
          <w:b w:val="1"/>
          <w:color w:val="000000"/>
          <w:sz w:val="32"/>
          <w:szCs w:val="32"/>
          <w:rtl w:val="0"/>
        </w:rPr>
        <w:t xml:space="preserve">: </w:t>
      </w:r>
      <w:r w:rsidDel="00000000" w:rsidR="00000000" w:rsidRPr="00000000">
        <w:rPr>
          <w:rFonts w:ascii="Times New Roman" w:cs="Times New Roman" w:eastAsia="Times New Roman" w:hAnsi="Times New Roman"/>
          <w:sz w:val="32"/>
          <w:szCs w:val="32"/>
          <w:rtl w:val="0"/>
        </w:rPr>
        <w:t xml:space="preserve">Velas solares y otros sistemas de </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32"/>
          <w:szCs w:val="32"/>
          <w:rtl w:val="0"/>
        </w:rPr>
        <w:t xml:space="preserve">propulsión de naves espaciales</w:t>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Descripción: </w:t>
      </w:r>
      <w:r w:rsidDel="00000000" w:rsidR="00000000" w:rsidRPr="00000000">
        <w:rPr>
          <w:rFonts w:ascii="Times New Roman" w:cs="Times New Roman" w:eastAsia="Times New Roman" w:hAnsi="Times New Roman"/>
          <w:rtl w:val="0"/>
        </w:rPr>
        <w:t xml:space="preserve">En esta actividad, los estudiantes analizan por qué los viajes humanos fuera del sistema solar son poco realistas en la actualidad. A partir de las misiones actuales y propuestas, los estudiantes calculan cuánto tiempo le tomaría a cada misión llegar al siguiente sistema estelar más cercano: Alfa Centauri. Luego aprenden los conceptos básicos de los propulsores iónicos, los cohetes tradicionales y las velas solares. También se abordan los retrasos en las comunicaciones. Luego, los estudiantes reflexionan sobre por qué los viajes espaciales fuera de nuestro sistema solar son una meta difícil de alcanzar.</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widowControl w:val="0"/>
        <w:spacing w:line="240" w:lineRule="auto"/>
        <w:ind w:left="26"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Objetivos de aprendizaje:</w:t>
      </w:r>
    </w:p>
    <w:p w:rsidR="00000000" w:rsidDel="00000000" w:rsidP="00000000" w:rsidRDefault="00000000" w:rsidRPr="00000000" w14:paraId="00000007">
      <w:pPr>
        <w:widowControl w:val="0"/>
        <w:numPr>
          <w:ilvl w:val="0"/>
          <w:numId w:val="4"/>
        </w:numPr>
        <w:spacing w:line="204"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Calcular las escalas de tiempo involucradas en los viajes fuera del sistema solar y estimar cuánto tiempo tomaría viajar a varios destinos.</w:t>
      </w:r>
    </w:p>
    <w:p w:rsidR="00000000" w:rsidDel="00000000" w:rsidP="00000000" w:rsidRDefault="00000000" w:rsidRPr="00000000" w14:paraId="00000008">
      <w:pPr>
        <w:widowControl w:val="0"/>
        <w:numPr>
          <w:ilvl w:val="0"/>
          <w:numId w:val="4"/>
        </w:numPr>
        <w:spacing w:line="204"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 el concepto de momento para comparar varios tipos de métodos de propulsión que se pueden utilizar para impulsar naves espaciales.</w:t>
      </w:r>
    </w:p>
    <w:p w:rsidR="00000000" w:rsidDel="00000000" w:rsidP="00000000" w:rsidRDefault="00000000" w:rsidRPr="00000000" w14:paraId="00000009">
      <w:pPr>
        <w:widowControl w:val="0"/>
        <w:numPr>
          <w:ilvl w:val="0"/>
          <w:numId w:val="4"/>
        </w:numPr>
        <w:spacing w:line="204"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Considerar cuánto tiempo lleva comunicarse con satélites que orbitan alrededor de varios objetos.</w:t>
      </w:r>
    </w:p>
    <w:p w:rsidR="00000000" w:rsidDel="00000000" w:rsidP="00000000" w:rsidRDefault="00000000" w:rsidRPr="00000000" w14:paraId="0000000A">
      <w:pPr>
        <w:widowControl w:val="0"/>
        <w:numPr>
          <w:ilvl w:val="0"/>
          <w:numId w:val="4"/>
        </w:numPr>
        <w:spacing w:line="204"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Discutir opciones realistas para viajar fuera de nuestro sistema solar.</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Ideas previas:</w:t>
      </w:r>
    </w:p>
    <w:p w:rsidR="00000000" w:rsidDel="00000000" w:rsidP="00000000" w:rsidRDefault="00000000" w:rsidRPr="00000000" w14:paraId="0000000D">
      <w:pPr>
        <w:widowControl w:val="0"/>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Distinguir entre rapidez y velocidad</w:t>
      </w:r>
    </w:p>
    <w:p w:rsidR="00000000" w:rsidDel="00000000" w:rsidP="00000000" w:rsidRDefault="00000000" w:rsidRPr="00000000" w14:paraId="0000000E">
      <w:pPr>
        <w:widowControl w:val="0"/>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Comprender la tercera ley de Newton</w:t>
      </w:r>
    </w:p>
    <w:p w:rsidR="00000000" w:rsidDel="00000000" w:rsidP="00000000" w:rsidRDefault="00000000" w:rsidRPr="00000000" w14:paraId="0000000F">
      <w:pPr>
        <w:widowControl w:val="0"/>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Comprender el concepto y la fórmula del momento</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Notas del instructor:</w:t>
      </w:r>
    </w:p>
    <w:p w:rsidR="00000000" w:rsidDel="00000000" w:rsidP="00000000" w:rsidRDefault="00000000" w:rsidRPr="00000000" w14:paraId="00000012">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 actividad se combina bien con el tutorial de Migración a Marte.</w:t>
      </w:r>
    </w:p>
    <w:p w:rsidR="00000000" w:rsidDel="00000000" w:rsidP="00000000" w:rsidRDefault="00000000" w:rsidRPr="00000000" w14:paraId="00000013">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 actividad se utiliza normalmente en una unidad sobre el sistema solar, con énfasis en las distancias y las escalas de tiempo.</w:t>
      </w:r>
    </w:p>
    <w:p w:rsidR="00000000" w:rsidDel="00000000" w:rsidP="00000000" w:rsidRDefault="00000000" w:rsidRPr="00000000" w14:paraId="00000014">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agregan sitios web y códigos QR para los estudiantes que deseen obtener más información. Esta actividad se puede completar sin acceder a estas fuentes externas, excepto la Parte IV.</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980000"/>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72" w:lineRule="auto"/>
        <w:ind w:left="17" w:firstLine="0"/>
        <w:rPr>
          <w:rFonts w:ascii="Times New Roman" w:cs="Times New Roman" w:eastAsia="Times New Roman" w:hAnsi="Times New Roman"/>
          <w:b w:val="1"/>
          <w:u w:val="single"/>
        </w:rPr>
      </w:pPr>
      <w:r w:rsidDel="00000000" w:rsidR="00000000" w:rsidRPr="00000000">
        <w:br w:type="page"/>
      </w:r>
      <w:r w:rsidDel="00000000" w:rsidR="00000000" w:rsidRPr="00000000">
        <w:rPr>
          <w:rFonts w:ascii="Times New Roman" w:cs="Times New Roman" w:eastAsia="Times New Roman" w:hAnsi="Times New Roman"/>
          <w:color w:val="980000"/>
        </w:rPr>
        <w:drawing>
          <wp:anchor allowOverlap="1" behindDoc="0" distB="114300" distT="114300" distL="114300" distR="114300" hidden="0" layoutInCell="1" locked="0" relativeHeight="0" simplePos="0">
            <wp:simplePos x="0" y="0"/>
            <wp:positionH relativeFrom="page">
              <wp:posOffset>6200775</wp:posOffset>
            </wp:positionH>
            <wp:positionV relativeFrom="page">
              <wp:posOffset>861268</wp:posOffset>
            </wp:positionV>
            <wp:extent cx="914400" cy="914400"/>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914400" cy="914400"/>
                    </a:xfrm>
                    <a:prstGeom prst="rect"/>
                    <a:ln/>
                  </pic:spPr>
                </pic:pic>
              </a:graphicData>
            </a:graphic>
          </wp:anchor>
        </w:drawing>
      </w:r>
      <w:r w:rsidDel="00000000" w:rsidR="00000000" w:rsidRPr="00000000">
        <w:rPr>
          <w:rFonts w:ascii="Times New Roman" w:cs="Times New Roman" w:eastAsia="Times New Roman" w:hAnsi="Times New Roman"/>
          <w:b w:val="1"/>
          <w:u w:val="single"/>
          <w:rtl w:val="0"/>
        </w:rPr>
        <w:t xml:space="preserve">Léeme: Antecedentes de la misión</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72" w:lineRule="auto"/>
        <w:ind w:left="17"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Explorar nuestro sistema solar es posible con la tecnología actual. La </w:t>
      </w:r>
      <w:hyperlink r:id="rId8">
        <w:r w:rsidDel="00000000" w:rsidR="00000000" w:rsidRPr="00000000">
          <w:rPr>
            <w:rFonts w:ascii="Times New Roman" w:cs="Times New Roman" w:eastAsia="Times New Roman" w:hAnsi="Times New Roman"/>
            <w:color w:val="1155cc"/>
            <w:u w:val="single"/>
            <w:rtl w:val="0"/>
          </w:rPr>
          <w:t xml:space="preserve">misión Dawn de la NASA</w:t>
        </w:r>
      </w:hyperlink>
      <w:r w:rsidDel="00000000" w:rsidR="00000000" w:rsidRPr="00000000">
        <w:rPr>
          <w:rFonts w:ascii="Times New Roman" w:cs="Times New Roman" w:eastAsia="Times New Roman" w:hAnsi="Times New Roman"/>
          <w:rtl w:val="0"/>
        </w:rPr>
        <w:t xml:space="preserve"> viajó a dos planetas enanos del cinturón de asteroides. Visitando tanto Ceres como Vesta, el propósito de esta misión fue ayudarnos a comprender mejor la evolución de nuestro sistema solar.</w:t>
      </w: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72" w:lineRule="auto"/>
        <w:ind w:left="17"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276225</wp:posOffset>
            </wp:positionV>
            <wp:extent cx="914400" cy="914400"/>
            <wp:effectExtent b="0" l="0" r="0" t="0"/>
            <wp:wrapSquare wrapText="bothSides" distB="114300" distT="114300" distL="114300" distR="114300"/>
            <wp:docPr id="1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72" w:lineRule="auto"/>
        <w:ind w:left="1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72" w:lineRule="auto"/>
        <w:ind w:left="17"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Hemos enviado personas a la Luna y la NASA tiene previsto volver a hacerlo en los próximos diez años. </w:t>
      </w:r>
      <w:hyperlink r:id="rId10">
        <w:r w:rsidDel="00000000" w:rsidR="00000000" w:rsidRPr="00000000">
          <w:rPr>
            <w:rFonts w:ascii="Times New Roman" w:cs="Times New Roman" w:eastAsia="Times New Roman" w:hAnsi="Times New Roman"/>
            <w:color w:val="1155cc"/>
            <w:u w:val="single"/>
            <w:rtl w:val="0"/>
          </w:rPr>
          <w:t xml:space="preserve">Space X</w:t>
        </w:r>
      </w:hyperlink>
      <w:r w:rsidDel="00000000" w:rsidR="00000000" w:rsidRPr="00000000">
        <w:rPr>
          <w:rFonts w:ascii="Times New Roman" w:cs="Times New Roman" w:eastAsia="Times New Roman" w:hAnsi="Times New Roman"/>
          <w:rtl w:val="0"/>
        </w:rPr>
        <w:t xml:space="preserve"> ha comenzado a enviar astronautas a la Estación Espacial Internacional y también está planeando una misión tripulada a Marte. Con la tecnología actual, ese viaje durará seis meses, solo de ida.</w:t>
      </w: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247650</wp:posOffset>
            </wp:positionV>
            <wp:extent cx="914400" cy="914400"/>
            <wp:effectExtent b="0" l="0" r="0" t="0"/>
            <wp:wrapSquare wrapText="bothSides" distB="114300" distT="114300" distL="114300" distR="114300"/>
            <wp:docPr id="2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misiones robóticas también han llegado a los confines de nuestro sistema solar. Las </w:t>
      </w:r>
      <w:hyperlink r:id="rId12">
        <w:r w:rsidDel="00000000" w:rsidR="00000000" w:rsidRPr="00000000">
          <w:rPr>
            <w:rFonts w:ascii="Times New Roman" w:cs="Times New Roman" w:eastAsia="Times New Roman" w:hAnsi="Times New Roman"/>
            <w:color w:val="1155cc"/>
            <w:u w:val="single"/>
            <w:rtl w:val="0"/>
          </w:rPr>
          <w:t xml:space="preserve">misiones Voyager</w:t>
        </w:r>
      </w:hyperlink>
      <w:r w:rsidDel="00000000" w:rsidR="00000000" w:rsidRPr="00000000">
        <w:rPr>
          <w:rFonts w:ascii="Times New Roman" w:cs="Times New Roman" w:eastAsia="Times New Roman" w:hAnsi="Times New Roman"/>
          <w:rtl w:val="0"/>
        </w:rPr>
        <w:t xml:space="preserve"> partieron de la Tierra en 1977 y han ido más allá del sistema solar, habiendo ingresado al espacio interestelar en los últimos dos años.</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72" w:lineRule="auto"/>
        <w:ind w:left="0" w:firstLine="0"/>
        <w:rPr>
          <w:rFonts w:ascii="Times New Roman" w:cs="Times New Roman" w:eastAsia="Times New Roman" w:hAnsi="Times New Roman"/>
          <w:color w:val="1155cc"/>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72" w:lineRule="auto"/>
        <w:ind w:left="0"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219075</wp:posOffset>
            </wp:positionV>
            <wp:extent cx="914400" cy="914400"/>
            <wp:effectExtent b="0" l="0" r="0" t="0"/>
            <wp:wrapSquare wrapText="bothSides" distB="114300" distT="114300" distL="114300" distR="114300"/>
            <wp:docPr id="2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Más recientemente, la </w:t>
      </w:r>
      <w:hyperlink r:id="rId14">
        <w:r w:rsidDel="00000000" w:rsidR="00000000" w:rsidRPr="00000000">
          <w:rPr>
            <w:rFonts w:ascii="Times New Roman" w:cs="Times New Roman" w:eastAsia="Times New Roman" w:hAnsi="Times New Roman"/>
            <w:color w:val="1155cc"/>
            <w:u w:val="single"/>
            <w:rtl w:val="0"/>
          </w:rPr>
          <w:t xml:space="preserve">misión New Horizons</w:t>
        </w:r>
      </w:hyperlink>
      <w:r w:rsidDel="00000000" w:rsidR="00000000" w:rsidRPr="00000000">
        <w:rPr>
          <w:rFonts w:ascii="Times New Roman" w:cs="Times New Roman" w:eastAsia="Times New Roman" w:hAnsi="Times New Roman"/>
          <w:rtl w:val="0"/>
        </w:rPr>
        <w:t xml:space="preserve"> sobrevoló Plutón en su camino hacia el cinturón de Kuiper. Cuando se lanzó, esta misión fue el cohete más rápido construido por humanos hasta la fecha.</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72"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color w:val="1155cc"/>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72" w:lineRule="auto"/>
        <w:ind w:left="0" w:firstLine="0"/>
        <w:rPr>
          <w:rFonts w:ascii="Times New Roman" w:cs="Times New Roman" w:eastAsia="Times New Roman" w:hAnsi="Times New Roman"/>
          <w:color w:val="1155cc"/>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color w:val="1155cc"/>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queremos explorar la galaxia fuera de nuestro sistema solar, debemos pensar en cómo funcionará esto. Algunas consideraciones para esto incluyen: ¿Podemos enviar personas fuera de nuestro sistema solar? ¿Cuánto tiempo tomará eso? Si no es así, ¿qué debería diseñarse un sistema de satélites para buscar en otro lugar? ¿Cuáles son los requisitos de energía para estas misiones? ¿Cuánto tiempo tomará comunicarse con una misión fuera de nuestro sistema solar y qué significa eso en términos del alcance de la misión? Exploraremos estas preguntas en esta actividad.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1181100</wp:posOffset>
            </wp:positionV>
            <wp:extent cx="914400" cy="914400"/>
            <wp:effectExtent b="0" l="0" r="0" t="0"/>
            <wp:wrapSquare wrapText="bothSides" distB="114300" distT="114300" distL="114300" distR="114300"/>
            <wp:docPr id="2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Una misión propuesta más allá de nuestro sistema solar es </w:t>
      </w:r>
      <w:hyperlink r:id="rId16">
        <w:r w:rsidDel="00000000" w:rsidR="00000000" w:rsidRPr="00000000">
          <w:rPr>
            <w:rFonts w:ascii="Times New Roman" w:cs="Times New Roman" w:eastAsia="Times New Roman" w:hAnsi="Times New Roman"/>
            <w:color w:val="1155cc"/>
            <w:u w:val="single"/>
            <w:rtl w:val="0"/>
          </w:rPr>
          <w:t xml:space="preserve">Starshot</w:t>
        </w:r>
      </w:hyperlink>
      <w:r w:rsidDel="00000000" w:rsidR="00000000" w:rsidRPr="00000000">
        <w:rPr>
          <w:rFonts w:ascii="Times New Roman" w:cs="Times New Roman" w:eastAsia="Times New Roman" w:hAnsi="Times New Roman"/>
          <w:rtl w:val="0"/>
        </w:rPr>
        <w:t xml:space="preserve">. Viajando a una fracción de la velocidad de la luz, esta misión podría visitar otro sistema solar utilizando velas solares.</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Parte I: Escalas de tiempo</w:t>
      </w: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la Tabla 1 se muestran las características de las misiones descritas en la sección Antecedentes de la misión en la página anterior.</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Tabla 1: Parámetros de la nave espacial</w:t>
      </w:r>
    </w:p>
    <w:p w:rsidR="00000000" w:rsidDel="00000000" w:rsidP="00000000" w:rsidRDefault="00000000" w:rsidRPr="00000000" w14:paraId="00000031">
      <w:pPr>
        <w:widowControl w:val="0"/>
        <w:spacing w:line="240" w:lineRule="auto"/>
        <w:ind w:left="26" w:firstLine="0"/>
        <w:rPr>
          <w:rFonts w:ascii="Times New Roman" w:cs="Times New Roman" w:eastAsia="Times New Roman" w:hAnsi="Times New Roman"/>
          <w:b w:val="1"/>
        </w:rPr>
      </w:pPr>
      <w:r w:rsidDel="00000000" w:rsidR="00000000" w:rsidRPr="00000000">
        <w:rPr>
          <w:rtl w:val="0"/>
        </w:rPr>
      </w:r>
    </w:p>
    <w:tbl>
      <w:tblPr>
        <w:tblStyle w:val="Table1"/>
        <w:tblW w:w="941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7"/>
        <w:gridCol w:w="1536"/>
        <w:gridCol w:w="1536"/>
        <w:gridCol w:w="1536"/>
        <w:gridCol w:w="1637"/>
        <w:gridCol w:w="1637"/>
        <w:tblGridChange w:id="0">
          <w:tblGrid>
            <w:gridCol w:w="1537"/>
            <w:gridCol w:w="1536"/>
            <w:gridCol w:w="1536"/>
            <w:gridCol w:w="1536"/>
            <w:gridCol w:w="1637"/>
            <w:gridCol w:w="1637"/>
          </w:tblGrid>
        </w:tblGridChange>
      </w:tblGrid>
      <w:tr>
        <w:trPr>
          <w:cantSplit w:val="0"/>
          <w:trHeight w:val="7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Dawn</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Nave espacial</w:t>
            </w:r>
          </w:p>
          <w:p w:rsidR="00000000" w:rsidDel="00000000" w:rsidP="00000000" w:rsidRDefault="00000000" w:rsidRPr="00000000" w14:paraId="0000003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Space X</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Voyager 1</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New Horizons</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Starshot</w:t>
            </w:r>
          </w:p>
          <w:p w:rsidR="00000000" w:rsidDel="00000000" w:rsidP="00000000" w:rsidRDefault="00000000" w:rsidRPr="00000000" w14:paraId="0000003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(propuesto) </w:t>
            </w:r>
          </w:p>
        </w:tc>
      </w:tr>
      <w:tr>
        <w:trPr>
          <w:cantSplit w:val="0"/>
          <w:trHeight w:val="7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Vel. Máx. </w:t>
            </w:r>
          </w:p>
          <w:p w:rsidR="00000000" w:rsidDel="00000000" w:rsidP="00000000" w:rsidRDefault="00000000" w:rsidRPr="00000000" w14:paraId="0000003B">
            <w:pPr>
              <w:widowControl w:val="0"/>
              <w:spacing w:line="240" w:lineRule="auto"/>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 </w:t>
            </w:r>
            <w:sdt>
              <w:sdtPr>
                <w:tag w:val="goog_rdk_0"/>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5 </w:t>
            </w:r>
            <w:r w:rsidDel="00000000" w:rsidR="00000000" w:rsidRPr="00000000">
              <w:rPr>
                <w:rFonts w:ascii="Times New Roman" w:cs="Times New Roman" w:eastAsia="Times New Roman" w:hAnsi="Times New Roman"/>
                <w:rtl w:val="0"/>
              </w:rPr>
              <w:t xml:space="preserve">km/día </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w:t>
            </w:r>
            <w:sdt>
              <w:sdtPr>
                <w:tag w:val="goog_rdk_1"/>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6 </w:t>
            </w:r>
            <w:r w:rsidDel="00000000" w:rsidR="00000000" w:rsidRPr="00000000">
              <w:rPr>
                <w:rFonts w:ascii="Times New Roman" w:cs="Times New Roman" w:eastAsia="Times New Roman" w:hAnsi="Times New Roman"/>
                <w:rtl w:val="0"/>
              </w:rPr>
              <w:t xml:space="preserve">km/día </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w:t>
            </w:r>
            <w:sdt>
              <w:sdtPr>
                <w:tag w:val="goog_rdk_2"/>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6 </w:t>
            </w:r>
            <w:r w:rsidDel="00000000" w:rsidR="00000000" w:rsidRPr="00000000">
              <w:rPr>
                <w:rFonts w:ascii="Times New Roman" w:cs="Times New Roman" w:eastAsia="Times New Roman" w:hAnsi="Times New Roman"/>
                <w:rtl w:val="0"/>
              </w:rPr>
              <w:t xml:space="preserve">km/día</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1.4 </w:t>
            </w:r>
            <w:sdt>
              <w:sdtPr>
                <w:tag w:val="goog_rdk_3"/>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6 </w:t>
            </w:r>
          </w:p>
          <w:p w:rsidR="00000000" w:rsidDel="00000000" w:rsidP="00000000" w:rsidRDefault="00000000" w:rsidRPr="00000000" w14:paraId="0000004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km/día </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5.2 </w:t>
            </w:r>
            <w:sdt>
              <w:sdtPr>
                <w:tag w:val="goog_rdk_4"/>
              </w:sdtPr>
              <w:sdtContent>
                <w:r w:rsidDel="00000000" w:rsidR="00000000" w:rsidRPr="00000000">
                  <w:rPr>
                    <w:rFonts w:ascii="Arial Unicode MS" w:cs="Arial Unicode MS" w:eastAsia="Arial Unicode MS" w:hAnsi="Arial Unicode MS"/>
                    <w:sz w:val="14"/>
                    <w:szCs w:val="14"/>
                    <w:rtl w:val="0"/>
                  </w:rPr>
                  <w:t xml:space="preserve">✕</w:t>
                </w:r>
              </w:sdtContent>
            </w:sdt>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9 </w:t>
            </w:r>
          </w:p>
          <w:p w:rsidR="00000000" w:rsidDel="00000000" w:rsidP="00000000" w:rsidRDefault="00000000" w:rsidRPr="00000000" w14:paraId="0000004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km/día </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Masa</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747 kg</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5x10</w:t>
            </w:r>
            <w:r w:rsidDel="00000000" w:rsidR="00000000" w:rsidRPr="00000000">
              <w:rPr>
                <w:rFonts w:ascii="Times New Roman" w:cs="Times New Roman" w:eastAsia="Times New Roman" w:hAnsi="Times New Roman"/>
                <w:vertAlign w:val="superscript"/>
                <w:rtl w:val="0"/>
              </w:rPr>
              <w:t xml:space="preserve">6 </w:t>
            </w:r>
            <w:r w:rsidDel="00000000" w:rsidR="00000000" w:rsidRPr="00000000">
              <w:rPr>
                <w:rFonts w:ascii="Times New Roman" w:cs="Times New Roman" w:eastAsia="Times New Roman" w:hAnsi="Times New Roman"/>
                <w:rtl w:val="0"/>
              </w:rPr>
              <w:t xml:space="preserve">kg</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722 kg</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478 kg</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g </w:t>
            </w:r>
          </w:p>
        </w:tc>
      </w:tr>
      <w:tr>
        <w:trPr>
          <w:cantSplit w:val="0"/>
          <w:trHeight w:val="7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Tamaño</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sdt>
              <w:sdtPr>
                <w:tag w:val="goog_rdk_5"/>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20 </w:t>
            </w:r>
            <w:sdt>
              <w:sdtPr>
                <w:tag w:val="goog_rdk_6"/>
              </w:sdtPr>
              <w:sdtContent>
                <w:r w:rsidDel="00000000" w:rsidR="00000000" w:rsidRPr="00000000">
                  <w:rPr>
                    <w:rFonts w:ascii="Arial Unicode MS" w:cs="Arial Unicode MS" w:eastAsia="Arial Unicode MS" w:hAnsi="Arial Unicode MS"/>
                    <w:sz w:val="14"/>
                    <w:szCs w:val="14"/>
                    <w:rtl w:val="0"/>
                  </w:rPr>
                  <w:t xml:space="preserve">✕</w:t>
                </w:r>
              </w:sdtContent>
            </w:sdt>
            <w:r w:rsidDel="00000000" w:rsidR="00000000" w:rsidRPr="00000000">
              <w:rPr>
                <w:rFonts w:ascii="Times New Roman" w:cs="Times New Roman" w:eastAsia="Times New Roman" w:hAnsi="Times New Roman"/>
                <w:rtl w:val="0"/>
              </w:rPr>
              <w:t xml:space="preserve"> 2 m</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9 m ancho</w:t>
              <w:br w:type="textWrapping"/>
              <w:t xml:space="preserve">120 m altura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5"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 m </w:t>
            </w:r>
            <w:sdt>
              <w:sdtPr>
                <w:tag w:val="goog_rdk_7"/>
              </w:sdtPr>
              <w:sdtContent>
                <w:r w:rsidDel="00000000" w:rsidR="00000000" w:rsidRPr="00000000">
                  <w:rPr>
                    <w:rFonts w:ascii="Arial Unicode MS" w:cs="Arial Unicode MS" w:eastAsia="Arial Unicode MS" w:hAnsi="Arial Unicode MS"/>
                    <w:sz w:val="14"/>
                    <w:szCs w:val="14"/>
                    <w:rtl w:val="0"/>
                  </w:rPr>
                  <w:t xml:space="preserve">✕</w:t>
                </w:r>
              </w:sdtContent>
            </w:sdt>
            <w:r w:rsidDel="00000000" w:rsidR="00000000" w:rsidRPr="00000000">
              <w:rPr>
                <w:rFonts w:ascii="Times New Roman" w:cs="Times New Roman" w:eastAsia="Times New Roman" w:hAnsi="Times New Roman"/>
                <w:rtl w:val="0"/>
              </w:rPr>
              <w:t xml:space="preserve"> 1.78 m (+ antena)</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line="245"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sdt>
              <w:sdtPr>
                <w:tag w:val="goog_rdk_8"/>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2 </w:t>
            </w:r>
            <w:sdt>
              <w:sdtPr>
                <w:tag w:val="goog_rdk_9"/>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3 m</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m diámetro </w:t>
            </w:r>
          </w:p>
        </w:tc>
      </w:tr>
    </w:tbl>
    <w:p w:rsidR="00000000" w:rsidDel="00000000" w:rsidP="00000000" w:rsidRDefault="00000000" w:rsidRPr="00000000" w14:paraId="0000004F">
      <w:pPr>
        <w:widowControl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widowControl w:val="0"/>
        <w:numPr>
          <w:ilvl w:val="0"/>
          <w:numId w:val="2"/>
        </w:numPr>
        <w:pBdr>
          <w:top w:space="0" w:sz="0" w:val="nil"/>
          <w:left w:space="0" w:sz="0" w:val="nil"/>
          <w:bottom w:space="0" w:sz="0" w:val="nil"/>
          <w:right w:space="0" w:sz="0" w:val="nil"/>
          <w:between w:space="0" w:sz="0" w:val="nil"/>
        </w:pBdr>
        <w:spacing w:line="204"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Utilizando la información de la tabla anterior, calcula cuántos años tardaría cada vehículo en viajar a Alpha Centauri, el sistema estelar más cercano. Podemos hacerlo tomando la distancia a Alpha Centauri (4 </w:t>
      </w:r>
      <w:sdt>
        <w:sdtPr>
          <w:tag w:val="goog_rdk_10"/>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13</w:t>
      </w:r>
      <w:r w:rsidDel="00000000" w:rsidR="00000000" w:rsidRPr="00000000">
        <w:rPr>
          <w:rFonts w:ascii="Times New Roman" w:cs="Times New Roman" w:eastAsia="Times New Roman" w:hAnsi="Times New Roman"/>
          <w:rtl w:val="0"/>
        </w:rPr>
        <w:t xml:space="preserve"> km) y dividiéndola por la velocidad máxima de cada vehículo. Esto nos dará el tiempo en días. Luego dividiremos ese número por 365 para obtener el tiempo en años. Ya se han realizado dos ejemplos.</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Dawn: </w:t>
      </w:r>
      <m:oMath>
        <m:r>
          <w:rPr>
            <w:rFonts w:ascii="Times New Roman" w:cs="Times New Roman" w:eastAsia="Times New Roman" w:hAnsi="Times New Roman"/>
          </w:rPr>
          <m:t xml:space="preserve">(4 x </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10</m:t>
            </m:r>
          </m:e>
          <m:sup>
            <m:r>
              <w:rPr>
                <w:rFonts w:ascii="Times New Roman" w:cs="Times New Roman" w:eastAsia="Times New Roman" w:hAnsi="Times New Roman"/>
              </w:rPr>
              <m:t xml:space="preserve">13</m:t>
            </m:r>
          </m:sup>
        </m:sSup>
        <m:r>
          <w:rPr>
            <w:rFonts w:ascii="Times New Roman" w:cs="Times New Roman" w:eastAsia="Times New Roman" w:hAnsi="Times New Roman"/>
          </w:rPr>
          <m:t xml:space="preserve">km)</m:t>
        </m:r>
        <m:f>
          <m:fPr>
            <m:ctrlPr>
              <w:rPr>
                <w:rFonts w:ascii="Times New Roman" w:cs="Times New Roman" w:eastAsia="Times New Roman" w:hAnsi="Times New Roman"/>
              </w:rPr>
            </m:ctrlPr>
          </m:fPr>
          <m:num>
            <m:r>
              <w:rPr>
                <w:rFonts w:ascii="Times New Roman" w:cs="Times New Roman" w:eastAsia="Times New Roman" w:hAnsi="Times New Roman"/>
              </w:rPr>
              <m:t xml:space="preserve">1 día</m:t>
            </m:r>
          </m:num>
          <m:den>
            <m:r>
              <w:rPr>
                <w:rFonts w:ascii="Times New Roman" w:cs="Times New Roman" w:eastAsia="Times New Roman" w:hAnsi="Times New Roman"/>
              </w:rPr>
              <m:t xml:space="preserve">9.9 x </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10</m:t>
                </m:r>
              </m:e>
              <m:sup>
                <m:r>
                  <w:rPr>
                    <w:rFonts w:ascii="Times New Roman" w:cs="Times New Roman" w:eastAsia="Times New Roman" w:hAnsi="Times New Roman"/>
                  </w:rPr>
                  <m:t xml:space="preserve">5</m:t>
                </m:r>
              </m:sup>
            </m:sSup>
            <m:r>
              <w:rPr>
                <w:rFonts w:ascii="Times New Roman" w:cs="Times New Roman" w:eastAsia="Times New Roman" w:hAnsi="Times New Roman"/>
              </w:rPr>
              <m:t xml:space="preserve"> km</m:t>
            </m:r>
          </m:den>
        </m:f>
        <m:f>
          <m:fPr>
            <m:ctrlPr>
              <w:rPr>
                <w:rFonts w:ascii="Times New Roman" w:cs="Times New Roman" w:eastAsia="Times New Roman" w:hAnsi="Times New Roman"/>
              </w:rPr>
            </m:ctrlPr>
          </m:fPr>
          <m:num>
            <m:r>
              <w:rPr>
                <w:rFonts w:ascii="Times New Roman" w:cs="Times New Roman" w:eastAsia="Times New Roman" w:hAnsi="Times New Roman"/>
              </w:rPr>
              <m:t xml:space="preserve">1 año</m:t>
            </m:r>
          </m:num>
          <m:den>
            <m:r>
              <w:rPr>
                <w:rFonts w:ascii="Times New Roman" w:cs="Times New Roman" w:eastAsia="Times New Roman" w:hAnsi="Times New Roman"/>
              </w:rPr>
              <m:t xml:space="preserve">365 días</m:t>
            </m:r>
          </m:den>
        </m:f>
        <m:r>
          <w:rPr>
            <w:rFonts w:ascii="Times New Roman" w:cs="Times New Roman" w:eastAsia="Times New Roman" w:hAnsi="Times New Roman"/>
          </w:rPr>
          <m:t xml:space="preserve">=110,700 años</m:t>
        </m:r>
      </m:oMath>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widowControl w:val="0"/>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Nave espacial SpaceX:</w:t>
      </w:r>
    </w:p>
    <w:p w:rsidR="00000000" w:rsidDel="00000000" w:rsidP="00000000" w:rsidRDefault="00000000" w:rsidRPr="00000000" w14:paraId="00000055">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widowControl w:val="0"/>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Voyager I:</w:t>
      </w:r>
      <m:oMath>
        <m:r>
          <w:rPr>
            <w:rFonts w:ascii="Times New Roman" w:cs="Times New Roman" w:eastAsia="Times New Roman" w:hAnsi="Times New Roman"/>
          </w:rPr>
          <m:t xml:space="preserve">  (4 x </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10</m:t>
            </m:r>
          </m:e>
          <m:sup>
            <m:r>
              <w:rPr>
                <w:rFonts w:ascii="Times New Roman" w:cs="Times New Roman" w:eastAsia="Times New Roman" w:hAnsi="Times New Roman"/>
              </w:rPr>
              <m:t xml:space="preserve">13</m:t>
            </m:r>
          </m:sup>
        </m:sSup>
        <m:r>
          <w:rPr>
            <w:rFonts w:ascii="Times New Roman" w:cs="Times New Roman" w:eastAsia="Times New Roman" w:hAnsi="Times New Roman"/>
          </w:rPr>
          <m:t xml:space="preserve">km)</m:t>
        </m:r>
        <m:f>
          <m:fPr>
            <m:ctrlPr>
              <w:rPr>
                <w:rFonts w:ascii="Times New Roman" w:cs="Times New Roman" w:eastAsia="Times New Roman" w:hAnsi="Times New Roman"/>
              </w:rPr>
            </m:ctrlPr>
          </m:fPr>
          <m:num>
            <m:r>
              <w:rPr>
                <w:rFonts w:ascii="Times New Roman" w:cs="Times New Roman" w:eastAsia="Times New Roman" w:hAnsi="Times New Roman"/>
              </w:rPr>
              <m:t xml:space="preserve">1 día</m:t>
            </m:r>
          </m:num>
          <m:den>
            <m:r>
              <w:rPr>
                <w:rFonts w:ascii="Times New Roman" w:cs="Times New Roman" w:eastAsia="Times New Roman" w:hAnsi="Times New Roman"/>
              </w:rPr>
              <m:t xml:space="preserve">1.4 x </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10</m:t>
                </m:r>
              </m:e>
              <m:sup>
                <m:r>
                  <w:rPr>
                    <w:rFonts w:ascii="Times New Roman" w:cs="Times New Roman" w:eastAsia="Times New Roman" w:hAnsi="Times New Roman"/>
                  </w:rPr>
                  <m:t xml:space="preserve">6</m:t>
                </m:r>
              </m:sup>
            </m:sSup>
            <m:r>
              <w:rPr>
                <w:rFonts w:ascii="Times New Roman" w:cs="Times New Roman" w:eastAsia="Times New Roman" w:hAnsi="Times New Roman"/>
              </w:rPr>
              <m:t xml:space="preserve"> km</m:t>
            </m:r>
          </m:den>
        </m:f>
        <m:f>
          <m:fPr>
            <m:ctrlPr>
              <w:rPr>
                <w:rFonts w:ascii="Times New Roman" w:cs="Times New Roman" w:eastAsia="Times New Roman" w:hAnsi="Times New Roman"/>
              </w:rPr>
            </m:ctrlPr>
          </m:fPr>
          <m:num>
            <m:r>
              <w:rPr>
                <w:rFonts w:ascii="Times New Roman" w:cs="Times New Roman" w:eastAsia="Times New Roman" w:hAnsi="Times New Roman"/>
              </w:rPr>
              <m:t xml:space="preserve">1 años</m:t>
            </m:r>
          </m:num>
          <m:den>
            <m:r>
              <w:rPr>
                <w:rFonts w:ascii="Times New Roman" w:cs="Times New Roman" w:eastAsia="Times New Roman" w:hAnsi="Times New Roman"/>
              </w:rPr>
              <m:t xml:space="preserve">365 días</m:t>
            </m:r>
          </m:den>
        </m:f>
        <m:r>
          <w:rPr>
            <w:rFonts w:ascii="Times New Roman" w:cs="Times New Roman" w:eastAsia="Times New Roman" w:hAnsi="Times New Roman"/>
          </w:rPr>
          <m:t xml:space="preserve">=78,300 años</m:t>
        </m:r>
      </m:oMath>
      <w:r w:rsidDel="00000000" w:rsidR="00000000" w:rsidRPr="00000000">
        <w:rPr>
          <w:rtl w:val="0"/>
        </w:rPr>
      </w:r>
    </w:p>
    <w:p w:rsidR="00000000" w:rsidDel="00000000" w:rsidP="00000000" w:rsidRDefault="00000000" w:rsidRPr="00000000" w14:paraId="0000005A">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Horizons:</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Starshot:</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54" w:lineRule="auto"/>
        <w:ind w:left="72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5">
      <w:pPr>
        <w:widowControl w:val="0"/>
        <w:numPr>
          <w:ilvl w:val="0"/>
          <w:numId w:val="2"/>
        </w:numPr>
        <w:pBdr>
          <w:top w:space="0" w:sz="0" w:val="nil"/>
          <w:left w:space="0" w:sz="0" w:val="nil"/>
          <w:bottom w:space="0" w:sz="0" w:val="nil"/>
          <w:right w:space="0" w:sz="0" w:val="nil"/>
          <w:between w:space="0" w:sz="0" w:val="nil"/>
        </w:pBdr>
        <w:spacing w:line="254"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¿Es realista enviar humanos a otro sistema solar utilizando la tecnología actual? Explica tu razonamiento.</w:t>
      </w: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54" w:lineRule="auto"/>
        <w:ind w:left="27" w:firstLine="2.999999999999998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54" w:lineRule="auto"/>
        <w:ind w:left="27" w:firstLine="2.999999999999998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54" w:lineRule="auto"/>
        <w:ind w:left="27" w:firstLine="2.999999999999998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Parte II: Propulsión</w:t>
      </w: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29" w:lineRule="auto"/>
        <w:ind w:left="17" w:firstLine="9.00000000000000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La NASA ha lanzado muchas misiones al espacio. Cada misión tiene un destino diferente y utiliza distintos métodos de propulsión. Analizaremos tres tipos de propulsión y una misión para cada tipo de propulsión.</w:t>
      </w: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29" w:lineRule="auto"/>
        <w:ind w:left="17" w:firstLine="9.00000000000000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widowControl w:val="0"/>
        <w:spacing w:line="204" w:lineRule="auto"/>
        <w:ind w:left="13" w:firstLine="16.00000000000000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w:t>
      </w:r>
      <w:r w:rsidDel="00000000" w:rsidR="00000000" w:rsidRPr="00000000">
        <w:rPr>
          <w:rFonts w:ascii="Times New Roman" w:cs="Times New Roman" w:eastAsia="Times New Roman" w:hAnsi="Times New Roman"/>
          <w:b w:val="1"/>
          <w:rtl w:val="0"/>
        </w:rPr>
        <w:t xml:space="preserve">momento</w:t>
      </w:r>
      <w:r w:rsidDel="00000000" w:rsidR="00000000" w:rsidRPr="00000000">
        <w:rPr>
          <w:rFonts w:ascii="Times New Roman" w:cs="Times New Roman" w:eastAsia="Times New Roman" w:hAnsi="Times New Roman"/>
          <w:rtl w:val="0"/>
        </w:rPr>
        <w:t xml:space="preserve">, en particular la conservación del momento dentro de un sistema, es fundamental para comprender cómo funcionan los cohetes. El momento está relacionado con el movimiento que tiene un objeto en movimiento. Se representa con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 y se calcula multiplicando la masa de un objeto por su velocidad.</w:t>
      </w:r>
      <w:r w:rsidDel="00000000" w:rsidR="00000000" w:rsidRPr="00000000">
        <w:rPr>
          <w:rtl w:val="0"/>
        </w:rPr>
      </w:r>
    </w:p>
    <w:p w:rsidR="00000000" w:rsidDel="00000000" w:rsidP="00000000" w:rsidRDefault="00000000" w:rsidRPr="00000000" w14:paraId="0000006F">
      <w:pPr>
        <w:widowControl w:val="0"/>
        <w:spacing w:line="240" w:lineRule="auto"/>
        <w:ind w:left="4328"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 = mv </w:t>
      </w:r>
    </w:p>
    <w:p w:rsidR="00000000" w:rsidDel="00000000" w:rsidP="00000000" w:rsidRDefault="00000000" w:rsidRPr="00000000" w14:paraId="00000070">
      <w:pPr>
        <w:widowControl w:val="0"/>
        <w:spacing w:line="218" w:lineRule="auto"/>
        <w:ind w:left="15" w:hanging="1.000000000000000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widowControl w:val="0"/>
        <w:spacing w:line="218" w:lineRule="auto"/>
        <w:ind w:left="15" w:hanging="1.000000000000000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empuje es la fuerza que acelera el cohete a través del aire y del espacio. El empuje lo genera el sistema de propulsión del cohete mediante el concepto de conservación del momento dentro de un sistema: a medida que el gas se aleja del cohete, el cohete se aleja del gas. Ambas partes del sistema (es decir, el cohete y el gas) se aceleran, pero en direcciones opuestas.</w:t>
      </w: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1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18" w:lineRule="auto"/>
        <w:ind w:left="15" w:hanging="1.000000000000000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los </w:t>
      </w:r>
      <w:r w:rsidDel="00000000" w:rsidR="00000000" w:rsidRPr="00000000">
        <w:rPr>
          <w:rFonts w:ascii="Times New Roman" w:cs="Times New Roman" w:eastAsia="Times New Roman" w:hAnsi="Times New Roman"/>
          <w:b w:val="1"/>
          <w:rtl w:val="0"/>
        </w:rPr>
        <w:t xml:space="preserve">cohetes tradicionales o químicos (Figura 1)</w:t>
      </w:r>
      <w:r w:rsidDel="00000000" w:rsidR="00000000" w:rsidRPr="00000000">
        <w:rPr>
          <w:rFonts w:ascii="Times New Roman" w:cs="Times New Roman" w:eastAsia="Times New Roman" w:hAnsi="Times New Roman"/>
          <w:rtl w:val="0"/>
        </w:rPr>
        <w:t xml:space="preserve">, el gas de escape caliente se expulsa desde atrás, lo que hace que el cohete avance. Estos cohetes toman toneladas de combustible líquido y sólido y lo encienden con un oxidante para que el cohete gane impulso. El gas también gana impulso, pero como su velocidad apunta en la dirección opuesta, se conserva el impulso total del sistema cohete-gas.</w:t>
      </w: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1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widowControl w:val="0"/>
        <w:spacing w:line="218" w:lineRule="auto"/>
        <w:ind w:left="15" w:hanging="1.000000000000000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3424238" cy="2295525"/>
            <wp:effectExtent b="0" l="0" r="0" t="0"/>
            <wp:docPr id="1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424238"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widowControl w:val="0"/>
        <w:spacing w:line="21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widowControl w:val="0"/>
        <w:spacing w:line="21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Figura 1. </w:t>
      </w:r>
      <w:r w:rsidDel="00000000" w:rsidR="00000000" w:rsidRPr="00000000">
        <w:rPr>
          <w:rFonts w:ascii="Times New Roman" w:cs="Times New Roman" w:eastAsia="Times New Roman" w:hAnsi="Times New Roman"/>
          <w:rtl w:val="0"/>
        </w:rPr>
        <w:t xml:space="preserve">En un cohete químico, se expulsa masa (normalmente gas a alta temperatura) desde atrás, lo que hace que el cohete avance. Crédito: </w:t>
      </w:r>
      <w:hyperlink r:id="rId18">
        <w:r w:rsidDel="00000000" w:rsidR="00000000" w:rsidRPr="00000000">
          <w:rPr>
            <w:rFonts w:ascii="Times New Roman" w:cs="Times New Roman" w:eastAsia="Times New Roman" w:hAnsi="Times New Roman"/>
            <w:color w:val="1155cc"/>
            <w:u w:val="single"/>
            <w:rtl w:val="0"/>
          </w:rPr>
          <w:t xml:space="preserve">NASA</w:t>
        </w:r>
      </w:hyperlink>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29" w:lineRule="auto"/>
        <w:ind w:left="17" w:firstLine="7"/>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29" w:lineRule="auto"/>
        <w:ind w:left="17" w:firstLine="7"/>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29" w:lineRule="auto"/>
        <w:ind w:left="17" w:firstLine="7"/>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Los propulsores iónicos (Figura 2) </w:t>
      </w:r>
      <w:r w:rsidDel="00000000" w:rsidR="00000000" w:rsidRPr="00000000">
        <w:rPr>
          <w:rFonts w:ascii="Times New Roman" w:cs="Times New Roman" w:eastAsia="Times New Roman" w:hAnsi="Times New Roman"/>
          <w:rtl w:val="0"/>
        </w:rPr>
        <w:t xml:space="preserve">expulsan iones en lugar de gases de combustión para generar empuje. El propulsor es un gas inerte como el xenón que se ioniza en una cámara de vacío en el cohete. Luego, los iones positivos son acelerados hacia afuera desde la parte posterior del cohete mediante un campo eléctrico.</w:t>
      </w: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widowControl w:val="0"/>
        <w:spacing w:line="204" w:lineRule="auto"/>
        <w:ind w:left="13" w:firstLine="16.000000000000004"/>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81675" cy="3143250"/>
            <wp:effectExtent b="0" l="0" r="0" t="0"/>
            <wp:docPr id="17" name="image3.png"/>
            <a:graphic>
              <a:graphicData uri="http://schemas.openxmlformats.org/drawingml/2006/picture">
                <pic:pic>
                  <pic:nvPicPr>
                    <pic:cNvPr id="0" name="image3.png"/>
                    <pic:cNvPicPr preferRelativeResize="0"/>
                  </pic:nvPicPr>
                  <pic:blipFill>
                    <a:blip r:embed="rId19"/>
                    <a:srcRect b="13349" l="2724" r="0" t="6553"/>
                    <a:stretch>
                      <a:fillRect/>
                    </a:stretch>
                  </pic:blipFill>
                  <pic:spPr>
                    <a:xfrm>
                      <a:off x="0" y="0"/>
                      <a:ext cx="5781675"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spacing w:line="204" w:lineRule="auto"/>
        <w:ind w:left="13" w:firstLine="16.000000000000004"/>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Figura 2. </w:t>
      </w:r>
      <w:r w:rsidDel="00000000" w:rsidR="00000000" w:rsidRPr="00000000">
        <w:rPr>
          <w:rFonts w:ascii="Times New Roman" w:cs="Times New Roman" w:eastAsia="Times New Roman" w:hAnsi="Times New Roman"/>
          <w:rtl w:val="0"/>
        </w:rPr>
        <w:t xml:space="preserve">En los propulsores iónicos, el combustible se ioniza mediante electrones de alta energía disparados desde un cañón de electrones. Cada electrón choca con un átomo neutro y produce otro electrón y una carga positiva. Las cargas positivas se aceleran hacia una rejilla negativa en la parte posterior del cohete, lo que proporciona el empuje necesario para que el cohete avance. Crédito: Bahereh A. Samie</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Los átomos ionizados individuales pueden ser expulsados ​​a una velocidad de 90 km/s, mientras que los cohetes químicos más eficientes tienen una velocidad de escape de 8 km/s. En los propulsores iónicos, cada átomo que ha alcanzado una alta velocidad puede generar un pequeño empuje en el cohete para impulsarlo hacia adelante.</w:t>
      </w: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widowControl w:val="0"/>
        <w:numPr>
          <w:ilvl w:val="0"/>
          <w:numId w:val="2"/>
        </w:numPr>
        <w:pBdr>
          <w:top w:space="0" w:sz="0" w:val="nil"/>
          <w:left w:space="0" w:sz="0" w:val="nil"/>
          <w:bottom w:space="0" w:sz="0" w:val="nil"/>
          <w:right w:space="0" w:sz="0" w:val="nil"/>
          <w:between w:space="0" w:sz="0" w:val="nil"/>
        </w:pBdr>
        <w:spacing w:line="204"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Observa la fórmula para el momento dada en la página anterior y propone una razón por la cual los propulsores iónicos proporcionan menos empuje al principio en comparación con los cohetes químicos, aunque expulsan partículas a una velocidad mucho mayor.</w:t>
      </w: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04" w:lineRule="auto"/>
        <w:ind w:left="13" w:firstLine="16.000000000000004"/>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87">
      <w:pPr>
        <w:widowControl w:val="0"/>
        <w:numPr>
          <w:ilvl w:val="0"/>
          <w:numId w:val="2"/>
        </w:numPr>
        <w:pBdr>
          <w:top w:space="0" w:sz="0" w:val="nil"/>
          <w:left w:space="0" w:sz="0" w:val="nil"/>
          <w:bottom w:space="0" w:sz="0" w:val="nil"/>
          <w:right w:space="0" w:sz="0" w:val="nil"/>
          <w:between w:space="0" w:sz="0" w:val="nil"/>
        </w:pBdr>
        <w:spacing w:line="254"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Como se ha dicho anteriormente, los propulsores iónicos utilizan un gas inerte como combustible. ¿En qué sentido el uso de un gas inerte como combustible podría ser una ventaja en comparación con los cohetes químicos? Explícalo.</w:t>
      </w:r>
    </w:p>
    <w:p w:rsidR="00000000" w:rsidDel="00000000" w:rsidP="00000000" w:rsidRDefault="00000000" w:rsidRPr="00000000" w14:paraId="00000088">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54" w:lineRule="auto"/>
        <w:ind w:left="9"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54"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5" w:lineRule="auto"/>
        <w:ind w:left="17" w:firstLine="9.00000000000000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La sonda espacial New Horizons de la NASA, lanzada en 2006 para estudiar Plutón, fue el objeto creado por el hombre más rápido jamás lanzado desde la Tierra, con una velocidad de 16,5 km/s. Para que New Horizons pudiera orbitar alrededor de Plutón, necesitaría quemar 580 veces su propio peso en combustible. </w:t>
      </w:r>
      <w:r w:rsidDel="00000000" w:rsidR="00000000" w:rsidRPr="00000000">
        <w:rPr>
          <w:rFonts w:ascii="Times New Roman" w:cs="Times New Roman" w:eastAsia="Times New Roman" w:hAnsi="Times New Roman"/>
          <w:rtl w:val="0"/>
        </w:rPr>
        <w:t xml:space="preserve">Dawn</w:t>
      </w:r>
      <w:r w:rsidDel="00000000" w:rsidR="00000000" w:rsidRPr="00000000">
        <w:rPr>
          <w:rFonts w:ascii="Times New Roman" w:cs="Times New Roman" w:eastAsia="Times New Roman" w:hAnsi="Times New Roman"/>
          <w:rtl w:val="0"/>
        </w:rPr>
        <w:t xml:space="preserve"> es la primera misión interplanetaria de la NASA propulsada por propulsores iónicos.</w:t>
      </w: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54"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widowControl w:val="0"/>
        <w:numPr>
          <w:ilvl w:val="0"/>
          <w:numId w:val="2"/>
        </w:numPr>
        <w:pBdr>
          <w:top w:space="0" w:sz="0" w:val="nil"/>
          <w:left w:space="0" w:sz="0" w:val="nil"/>
          <w:bottom w:space="0" w:sz="0" w:val="nil"/>
          <w:right w:space="0" w:sz="0" w:val="nil"/>
          <w:between w:space="0" w:sz="0" w:val="nil"/>
        </w:pBdr>
        <w:spacing w:line="254"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New Horizons estuviera equipada con un motor de iones como el de Dawn, ¿cómo podría eso alterar la misión New Horizons?</w:t>
      </w: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widowControl w:val="0"/>
        <w:spacing w:line="254" w:lineRule="auto"/>
        <w:ind w:left="2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navegación solar es una forma revolucionaria de propulsar naves espaciales a través del espacio. Las </w:t>
      </w:r>
      <w:r w:rsidDel="00000000" w:rsidR="00000000" w:rsidRPr="00000000">
        <w:rPr>
          <w:rFonts w:ascii="Times New Roman" w:cs="Times New Roman" w:eastAsia="Times New Roman" w:hAnsi="Times New Roman"/>
          <w:b w:val="1"/>
          <w:rtl w:val="0"/>
        </w:rPr>
        <w:t xml:space="preserve">velas solares (Figura 3)</w:t>
      </w:r>
      <w:r w:rsidDel="00000000" w:rsidR="00000000" w:rsidRPr="00000000">
        <w:rPr>
          <w:rFonts w:ascii="Times New Roman" w:cs="Times New Roman" w:eastAsia="Times New Roman" w:hAnsi="Times New Roman"/>
          <w:rtl w:val="0"/>
        </w:rPr>
        <w:t xml:space="preserve"> utilizan superficies grandes, livianas y similares a espejos que capturan el impulso de la luz solar para impulsar la nave espacial hacia adelante. La luz está compuesta de partículas sin masa llamadas fotones. Los fotones transfieren su momento a la nave espacial cuando chocan con sus superficies reflectantes. Al igual que en los propulsores iónicos, cada fotón que choca con las velas puede crear un pequeño impulso hacia adelante. La misión Starshot utilizará velas solares para viajar al sistema estelar más cercano a nuestro sistema solar, Alpha Centauri.</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54" w:lineRule="auto"/>
        <w:ind w:left="27"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24450" cy="2333625"/>
            <wp:effectExtent b="0" l="0" r="0" t="0"/>
            <wp:docPr id="19" name="image10.png"/>
            <a:graphic>
              <a:graphicData uri="http://schemas.openxmlformats.org/drawingml/2006/picture">
                <pic:pic>
                  <pic:nvPicPr>
                    <pic:cNvPr id="0" name="image10.png"/>
                    <pic:cNvPicPr preferRelativeResize="0"/>
                  </pic:nvPicPr>
                  <pic:blipFill>
                    <a:blip r:embed="rId20"/>
                    <a:srcRect b="0" l="0" r="13782" t="0"/>
                    <a:stretch>
                      <a:fillRect/>
                    </a:stretch>
                  </pic:blipFill>
                  <pic:spPr>
                    <a:xfrm>
                      <a:off x="0" y="0"/>
                      <a:ext cx="512445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Figura 3. </w:t>
      </w:r>
      <w:r w:rsidDel="00000000" w:rsidR="00000000" w:rsidRPr="00000000">
        <w:rPr>
          <w:rFonts w:ascii="Times New Roman" w:cs="Times New Roman" w:eastAsia="Times New Roman" w:hAnsi="Times New Roman"/>
          <w:rtl w:val="0"/>
        </w:rPr>
        <w:t xml:space="preserve">El momento transferido por las partículas de luz que rebotan en la superficie ligeramente curvada de una vela solar hace que ésta avance. Crédito: Bahereh A. Samie</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widowControl w:val="0"/>
        <w:numPr>
          <w:ilvl w:val="0"/>
          <w:numId w:val="2"/>
        </w:numPr>
        <w:pBdr>
          <w:top w:space="0" w:sz="0" w:val="nil"/>
          <w:left w:space="0" w:sz="0" w:val="nil"/>
          <w:bottom w:space="0" w:sz="0" w:val="nil"/>
          <w:right w:space="0" w:sz="0" w:val="nil"/>
          <w:between w:space="0" w:sz="0" w:val="nil"/>
        </w:pBdr>
        <w:spacing w:line="254"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La velocidad de una vela solar depende de su tamaño y de su masa. Analiza las ventajas y desventajas de utilizar una vela más grande.</w:t>
      </w: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widowControl w:val="0"/>
        <w:numPr>
          <w:ilvl w:val="0"/>
          <w:numId w:val="2"/>
        </w:numPr>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¿Cómo afecta la distancia al Sol a la aceleración de una vela solar? Explícalo.</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widowControl w:val="0"/>
        <w:numPr>
          <w:ilvl w:val="0"/>
          <w:numId w:val="2"/>
        </w:numPr>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Nombra una similitud y una diferencia entre los propulsores iónicos y las velas solares.</w:t>
      </w: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widowControl w:val="0"/>
        <w:numPr>
          <w:ilvl w:val="0"/>
          <w:numId w:val="2"/>
        </w:numPr>
        <w:pBdr>
          <w:top w:space="0" w:sz="0" w:val="nil"/>
          <w:left w:space="0" w:sz="0" w:val="nil"/>
          <w:bottom w:space="0" w:sz="0" w:val="nil"/>
          <w:right w:space="0" w:sz="0" w:val="nil"/>
          <w:between w:space="0" w:sz="0" w:val="nil"/>
        </w:pBdr>
        <w:spacing w:line="254"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Menciona tres ventajas de las velas solares en comparación con los cohetes tradicionales. ¿Existen desventajas? Explica.</w:t>
      </w: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54" w:lineRule="auto"/>
        <w:ind w:left="2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54" w:lineRule="auto"/>
        <w:ind w:left="2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54" w:lineRule="auto"/>
        <w:ind w:left="2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54" w:lineRule="auto"/>
        <w:ind w:left="2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54" w:lineRule="auto"/>
        <w:ind w:left="2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54"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Parte III: Comunicaciones con la Misión</w:t>
      </w: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misiones espaciales necesitan poder comunicarse con la Tierra, y normalmente lo hacen mediante ondas de radio. Recordemos que las ondas de radio son un tipo de luz, por lo que viajan a la velocidad de la luz. En la </w:t>
      </w:r>
      <w:r w:rsidDel="00000000" w:rsidR="00000000" w:rsidRPr="00000000">
        <w:rPr>
          <w:rFonts w:ascii="Times New Roman" w:cs="Times New Roman" w:eastAsia="Times New Roman" w:hAnsi="Times New Roman"/>
          <w:b w:val="1"/>
          <w:rtl w:val="0"/>
        </w:rPr>
        <w:t xml:space="preserve">Tabla 2 </w:t>
      </w:r>
      <w:r w:rsidDel="00000000" w:rsidR="00000000" w:rsidRPr="00000000">
        <w:rPr>
          <w:rFonts w:ascii="Times New Roman" w:cs="Times New Roman" w:eastAsia="Times New Roman" w:hAnsi="Times New Roman"/>
          <w:rtl w:val="0"/>
        </w:rPr>
        <w:t xml:space="preserve">se enumeran varias misiones actuales y sus ubicaciones. También se incluye la misión propuesta de Starshot.</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u w:val="single"/>
          <w:rtl w:val="0"/>
        </w:rPr>
        <w:t xml:space="preserve">Tabla 2: Misiones actuales y retrasos en las comunicaciones</w:t>
      </w:r>
      <w:r w:rsidDel="00000000" w:rsidR="00000000" w:rsidRPr="00000000">
        <w:rPr>
          <w:rtl w:val="0"/>
        </w:rPr>
      </w:r>
    </w:p>
    <w:p w:rsidR="00000000" w:rsidDel="00000000" w:rsidP="00000000" w:rsidRDefault="00000000" w:rsidRPr="00000000" w14:paraId="000000BD">
      <w:pPr>
        <w:widowControl w:val="0"/>
        <w:spacing w:line="240" w:lineRule="auto"/>
        <w:ind w:left="26" w:firstLine="0"/>
        <w:rPr>
          <w:rFonts w:ascii="Times New Roman" w:cs="Times New Roman" w:eastAsia="Times New Roman" w:hAnsi="Times New Roman"/>
        </w:rPr>
      </w:pPr>
      <w:r w:rsidDel="00000000" w:rsidR="00000000" w:rsidRPr="00000000">
        <w:rPr>
          <w:rtl w:val="0"/>
        </w:rPr>
      </w:r>
    </w:p>
    <w:tbl>
      <w:tblPr>
        <w:tblStyle w:val="Table2"/>
        <w:tblW w:w="93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1170"/>
        <w:gridCol w:w="1500"/>
        <w:gridCol w:w="1185"/>
        <w:gridCol w:w="1260"/>
        <w:gridCol w:w="1320"/>
        <w:gridCol w:w="1170"/>
        <w:tblGridChange w:id="0">
          <w:tblGrid>
            <w:gridCol w:w="1740"/>
            <w:gridCol w:w="1170"/>
            <w:gridCol w:w="1500"/>
            <w:gridCol w:w="1185"/>
            <w:gridCol w:w="1260"/>
            <w:gridCol w:w="1320"/>
            <w:gridCol w:w="1170"/>
          </w:tblGrid>
        </w:tblGridChange>
      </w:tblGrid>
      <w:tr>
        <w:trPr>
          <w:cantSplit w:val="0"/>
          <w:trHeight w:val="7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Misión </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Chang’e 5 (China) </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Perseverance </w:t>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Juno</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New Horizons</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Voyager 1</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Starshot</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Objetivo</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Luna </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Marte</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Júpiter</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Cinturon de Kuiper</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Fuera del sistema solar</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Centauri</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Retraso de comunicación</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segundos</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minutos</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 minutos</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horas</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horas</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años</w:t>
            </w:r>
          </w:p>
        </w:tc>
      </w:tr>
    </w:tbl>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29"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29" w:lineRule="auto"/>
        <w:ind w:left="12" w:firstLine="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widowControl w:val="0"/>
        <w:numPr>
          <w:ilvl w:val="0"/>
          <w:numId w:val="2"/>
        </w:numPr>
        <w:pBdr>
          <w:top w:space="0" w:sz="0" w:val="nil"/>
          <w:left w:space="0" w:sz="0" w:val="nil"/>
          <w:bottom w:space="0" w:sz="0" w:val="nil"/>
          <w:right w:space="0" w:sz="0" w:val="nil"/>
          <w:between w:space="0" w:sz="0" w:val="nil"/>
        </w:pBdr>
        <w:spacing w:line="229"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Piensa en cuánto tiempo le tomaría a Starshot enviar una señal a la Tierra y a nosotros enviar una señal de retorno usando la Tabla 2. ¿Qué programarías para que la nave espacial busque en este sistema? ¿Por qué?</w:t>
      </w:r>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5295900</wp:posOffset>
            </wp:positionH>
            <wp:positionV relativeFrom="paragraph">
              <wp:posOffset>283845</wp:posOffset>
            </wp:positionV>
            <wp:extent cx="914400" cy="914400"/>
            <wp:effectExtent b="0" l="0" r="0" t="0"/>
            <wp:wrapSquare wrapText="bothSides" distB="114300" distT="114300" distL="114300" distR="114300"/>
            <wp:docPr id="13"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Parte IV: Exploración fuera de nuestro sistema solar</w:t>
      </w:r>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 a </w:t>
      </w:r>
      <w:hyperlink r:id="rId22">
        <w:r w:rsidDel="00000000" w:rsidR="00000000" w:rsidRPr="00000000">
          <w:rPr>
            <w:rFonts w:ascii="Times New Roman" w:cs="Times New Roman" w:eastAsia="Times New Roman" w:hAnsi="Times New Roman"/>
            <w:color w:val="1155cc"/>
            <w:u w:val="single"/>
            <w:rtl w:val="0"/>
          </w:rPr>
          <w:t xml:space="preserve">Wikipedia</w:t>
        </w:r>
      </w:hyperlink>
      <w:r w:rsidDel="00000000" w:rsidR="00000000" w:rsidRPr="00000000">
        <w:rPr>
          <w:rFonts w:ascii="Times New Roman" w:cs="Times New Roman" w:eastAsia="Times New Roman" w:hAnsi="Times New Roman"/>
          <w:rtl w:val="0"/>
        </w:rPr>
        <w:t xml:space="preserve"> para ver un mapa del vecindario estelar cercano y encontrar a nuestro vecino estelar más cercano, Alpha Centauri. En este mapa, cada círculo concéntrico representa un año luz desde el Sol.</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40" w:lineRule="auto"/>
        <w:ind w:left="19" w:firstLine="0"/>
        <w:rPr>
          <w:rFonts w:ascii="Times New Roman" w:cs="Times New Roman" w:eastAsia="Times New Roman" w:hAnsi="Times New Roman"/>
          <w:strike w:val="1"/>
        </w:rPr>
      </w:pPr>
      <w:r w:rsidDel="00000000" w:rsidR="00000000" w:rsidRPr="00000000">
        <w:rPr>
          <w:rtl w:val="0"/>
        </w:rPr>
      </w:r>
    </w:p>
    <w:p w:rsidR="00000000" w:rsidDel="00000000" w:rsidP="00000000" w:rsidRDefault="00000000" w:rsidRPr="00000000" w14:paraId="000000E4">
      <w:pPr>
        <w:widowControl w:val="0"/>
        <w:numPr>
          <w:ilvl w:val="0"/>
          <w:numId w:val="2"/>
        </w:numPr>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Suponiendo que Starshot no pudiera cambiar su dirección, ¿qué encontrarías después de visitar el sistema triple estelar Alfa Centauri?</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widowControl w:val="0"/>
        <w:spacing w:line="27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widowControl w:val="0"/>
        <w:spacing w:line="27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widowControl w:val="0"/>
        <w:spacing w:line="272" w:lineRule="auto"/>
        <w:rPr>
          <w:rFonts w:ascii="Times New Roman" w:cs="Times New Roman" w:eastAsia="Times New Roman" w:hAnsi="Times New Roman"/>
        </w:rPr>
      </w:pPr>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1440" w:top="1440" w:left="1440" w:right="1440" w:header="144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widowControl w:val="0"/>
      <w:ind w:left="460" w:firstLine="0"/>
      <w:jc w:val="right"/>
      <w:rPr/>
    </w:pPr>
    <w:r w:rsidDel="00000000" w:rsidR="00000000" w:rsidRPr="00000000">
      <w:rPr>
        <w:rtl w:val="0"/>
      </w:rPr>
    </w:r>
  </w:p>
  <w:p w:rsidR="00000000" w:rsidDel="00000000" w:rsidP="00000000" w:rsidRDefault="00000000" w:rsidRPr="00000000" w14:paraId="000000EE">
    <w:pPr>
      <w:widowControl w:val="0"/>
      <w:ind w:left="460" w:firstLine="0"/>
      <w:jc w:val="right"/>
      <w:rPr>
        <w:color w:val="00559c"/>
        <w:sz w:val="18"/>
        <w:szCs w:val="18"/>
      </w:rPr>
    </w:pPr>
    <w:r w:rsidDel="00000000" w:rsidR="00000000" w:rsidRPr="00000000">
      <w:rPr>
        <w:color w:val="00559c"/>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widowControl w:val="0"/>
      <w:jc w:val="righ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sz w:val="18"/>
        <w:szCs w:val="18"/>
        <w:rtl w:val="0"/>
      </w:rPr>
      <w:t xml:space="preserve">Suplemento sugerido para LECTURE-TUTORIALS FOR INTRODUCTORY ASTRONOMY 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95796</wp:posOffset>
          </wp:positionH>
          <wp:positionV relativeFrom="paragraph">
            <wp:posOffset>286838</wp:posOffset>
          </wp:positionV>
          <wp:extent cx="844550" cy="664845"/>
          <wp:effectExtent b="0" l="0" r="0" t="0"/>
          <wp:wrapNone/>
          <wp:docPr descr="National Aeronautics and Space Administration (NASA) - IoT Software Blog -  Geisel Software" id="14" name="image1.png"/>
          <a:graphic>
            <a:graphicData uri="http://schemas.openxmlformats.org/drawingml/2006/picture">
              <pic:pic>
                <pic:nvPicPr>
                  <pic:cNvPr descr="National Aeronautics and Space Administration (NASA) - IoT Software Blog -  Geisel Software" id="0" name="image1.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F0">
    <w:pPr>
      <w:widowControl w:val="0"/>
      <w:ind w:left="460" w:firstLine="0"/>
      <w:jc w:val="right"/>
      <w:rPr>
        <w:color w:val="f28c00"/>
        <w:sz w:val="24"/>
        <w:szCs w:val="24"/>
      </w:rPr>
    </w:pPr>
    <w:r w:rsidDel="00000000" w:rsidR="00000000" w:rsidRPr="00000000">
      <w:rPr>
        <w:color w:val="f28c00"/>
        <w:sz w:val="24"/>
        <w:szCs w:val="24"/>
        <w:rtl w:val="0"/>
      </w:rPr>
      <w:t xml:space="preserve">Encuentra más recursos en aapt.org/Resources/NASA_HEAT.cfm</w:t>
    </w:r>
  </w:p>
  <w:p w:rsidR="00000000" w:rsidDel="00000000" w:rsidP="00000000" w:rsidRDefault="00000000" w:rsidRPr="00000000" w14:paraId="000000F1">
    <w:pPr>
      <w:widowControl w:val="0"/>
      <w:ind w:left="460" w:firstLine="0"/>
      <w:jc w:val="right"/>
      <w:rPr>
        <w:color w:val="00559c"/>
        <w:sz w:val="14"/>
        <w:szCs w:val="14"/>
      </w:rPr>
    </w:pPr>
    <w:r w:rsidDel="00000000" w:rsidR="00000000" w:rsidRPr="00000000">
      <w:rPr>
        <w:color w:val="00559c"/>
        <w:sz w:val="14"/>
        <w:szCs w:val="14"/>
        <w:rtl w:val="0"/>
      </w:rPr>
      <w:t xml:space="preserve">Este recurso fue desarrollado por S. Willoughby, J. Bailey y B. Samie. Los coautores reconocen las conversaciones </w:t>
    </w:r>
  </w:p>
  <w:p w:rsidR="00000000" w:rsidDel="00000000" w:rsidP="00000000" w:rsidRDefault="00000000" w:rsidRPr="00000000" w14:paraId="000000F2">
    <w:pPr>
      <w:widowControl w:val="0"/>
      <w:ind w:left="460" w:firstLine="0"/>
      <w:jc w:val="right"/>
      <w:rPr>
        <w:color w:val="00559c"/>
        <w:sz w:val="14"/>
        <w:szCs w:val="14"/>
      </w:rPr>
    </w:pPr>
    <w:r w:rsidDel="00000000" w:rsidR="00000000" w:rsidRPr="00000000">
      <w:rPr>
        <w:color w:val="00559c"/>
        <w:sz w:val="14"/>
        <w:szCs w:val="14"/>
        <w:rtl w:val="0"/>
      </w:rPr>
      <w:t xml:space="preserve">útiles con B. Ambrose, X. Cid, D. Donelan, R. Lopez y R. Vieyra, y el apoyo de NASA </w:t>
    </w:r>
  </w:p>
  <w:p w:rsidR="00000000" w:rsidDel="00000000" w:rsidP="00000000" w:rsidRDefault="00000000" w:rsidRPr="00000000" w14:paraId="000000F3">
    <w:pPr>
      <w:widowControl w:val="0"/>
      <w:ind w:left="460" w:firstLine="0"/>
      <w:jc w:val="right"/>
      <w:rPr>
        <w:color w:val="00559c"/>
        <w:sz w:val="14"/>
        <w:szCs w:val="14"/>
      </w:rPr>
    </w:pPr>
    <w:r w:rsidDel="00000000" w:rsidR="00000000" w:rsidRPr="00000000">
      <w:rPr>
        <w:color w:val="00559c"/>
        <w:sz w:val="14"/>
        <w:szCs w:val="14"/>
        <w:rtl w:val="0"/>
      </w:rPr>
      <w:t xml:space="preserve">Números de Acuerdo Cooperativo NNX16AR36A, 80NSSC21K1560 y 80NSSC23K1664.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rPr/>
    </w:pPr>
    <w:r w:rsidDel="00000000" w:rsidR="00000000" w:rsidRPr="00000000">
      <w:rPr/>
      <w:drawing>
        <wp:anchor allowOverlap="1" behindDoc="0" distB="0" distT="0" distL="114300" distR="114300" hidden="0" layoutInCell="1" locked="0" relativeHeight="0" simplePos="0">
          <wp:simplePos x="0" y="0"/>
          <wp:positionH relativeFrom="page">
            <wp:posOffset>71438</wp:posOffset>
          </wp:positionH>
          <wp:positionV relativeFrom="page">
            <wp:posOffset>76200</wp:posOffset>
          </wp:positionV>
          <wp:extent cx="7629546" cy="1018903"/>
          <wp:effectExtent b="0" l="0" r="0" t="0"/>
          <wp:wrapSquare wrapText="bothSides" distB="0" distT="0" distL="114300" distR="114300"/>
          <wp:docPr descr="Background pattern&#10;&#10;Description automatically generated" id="20" name="image11.png"/>
          <a:graphic>
            <a:graphicData uri="http://schemas.openxmlformats.org/drawingml/2006/picture">
              <pic:pic>
                <pic:nvPicPr>
                  <pic:cNvPr descr="Background pattern&#10;&#10;Description automatically generated" id="0" name="image11.png"/>
                  <pic:cNvPicPr preferRelativeResize="0"/>
                </pic:nvPicPr>
                <pic:blipFill>
                  <a:blip r:embed="rId1"/>
                  <a:srcRect b="0" l="0" r="0" t="0"/>
                  <a:stretch>
                    <a:fillRect/>
                  </a:stretch>
                </pic:blipFill>
                <pic:spPr>
                  <a:xfrm>
                    <a:off x="0" y="0"/>
                    <a:ext cx="7629546" cy="101890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Revision">
    <w:name w:val="Revision"/>
    <w:hidden w:val="1"/>
    <w:uiPriority w:val="99"/>
    <w:semiHidden w:val="1"/>
    <w:rsid w:val="005608A8"/>
    <w:pPr>
      <w:spacing w:line="240" w:lineRule="auto"/>
    </w:pPr>
  </w:style>
  <w:style w:type="character" w:styleId="CommentReference">
    <w:name w:val="annotation reference"/>
    <w:basedOn w:val="DefaultParagraphFont"/>
    <w:uiPriority w:val="99"/>
    <w:semiHidden w:val="1"/>
    <w:unhideWhenUsed w:val="1"/>
    <w:rsid w:val="005608A8"/>
    <w:rPr>
      <w:sz w:val="16"/>
      <w:szCs w:val="16"/>
    </w:rPr>
  </w:style>
  <w:style w:type="paragraph" w:styleId="CommentText">
    <w:name w:val="annotation text"/>
    <w:basedOn w:val="Normal"/>
    <w:link w:val="CommentTextChar"/>
    <w:uiPriority w:val="99"/>
    <w:semiHidden w:val="1"/>
    <w:unhideWhenUsed w:val="1"/>
    <w:rsid w:val="005608A8"/>
    <w:pPr>
      <w:spacing w:line="240" w:lineRule="auto"/>
    </w:pPr>
    <w:rPr>
      <w:sz w:val="20"/>
      <w:szCs w:val="20"/>
    </w:rPr>
  </w:style>
  <w:style w:type="character" w:styleId="CommentTextChar" w:customStyle="1">
    <w:name w:val="Comment Text Char"/>
    <w:basedOn w:val="DefaultParagraphFont"/>
    <w:link w:val="CommentText"/>
    <w:uiPriority w:val="99"/>
    <w:semiHidden w:val="1"/>
    <w:rsid w:val="005608A8"/>
    <w:rPr>
      <w:sz w:val="20"/>
      <w:szCs w:val="20"/>
    </w:rPr>
  </w:style>
  <w:style w:type="paragraph" w:styleId="CommentSubject">
    <w:name w:val="annotation subject"/>
    <w:basedOn w:val="CommentText"/>
    <w:next w:val="CommentText"/>
    <w:link w:val="CommentSubjectChar"/>
    <w:uiPriority w:val="99"/>
    <w:semiHidden w:val="1"/>
    <w:unhideWhenUsed w:val="1"/>
    <w:rsid w:val="005608A8"/>
    <w:rPr>
      <w:b w:val="1"/>
      <w:bCs w:val="1"/>
    </w:rPr>
  </w:style>
  <w:style w:type="character" w:styleId="CommentSubjectChar" w:customStyle="1">
    <w:name w:val="Comment Subject Char"/>
    <w:basedOn w:val="CommentTextChar"/>
    <w:link w:val="CommentSubject"/>
    <w:uiPriority w:val="99"/>
    <w:semiHidden w:val="1"/>
    <w:rsid w:val="005608A8"/>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en.wikipedia.org/wiki/List_of_nearest_stars_and_brown_dwarfs#/media/File:Angular_map_of_fusors_around_Sol_within_12ly.png" TargetMode="External"/><Relationship Id="rId21" Type="http://schemas.openxmlformats.org/officeDocument/2006/relationships/image" Target="media/image2.pn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https://solarsystem.nasa.gov/missions/dawn/mission/toolkit/highlights/" TargetMode="External"/><Relationship Id="rId11" Type="http://schemas.openxmlformats.org/officeDocument/2006/relationships/image" Target="media/image7.png"/><Relationship Id="rId10" Type="http://schemas.openxmlformats.org/officeDocument/2006/relationships/hyperlink" Target="https://www.spacex.com/human-spaceflight/mars/" TargetMode="External"/><Relationship Id="rId13" Type="http://schemas.openxmlformats.org/officeDocument/2006/relationships/image" Target="media/image5.png"/><Relationship Id="rId12" Type="http://schemas.openxmlformats.org/officeDocument/2006/relationships/hyperlink" Target="https://voyager.jpl.nasa.gov/mission/science/planetary-voyage/" TargetMode="External"/><Relationship Id="rId15" Type="http://schemas.openxmlformats.org/officeDocument/2006/relationships/image" Target="media/image8.png"/><Relationship Id="rId14" Type="http://schemas.openxmlformats.org/officeDocument/2006/relationships/hyperlink" Target="http://pluto.jhuapl.edu/" TargetMode="External"/><Relationship Id="rId17" Type="http://schemas.openxmlformats.org/officeDocument/2006/relationships/image" Target="media/image9.png"/><Relationship Id="rId16" Type="http://schemas.openxmlformats.org/officeDocument/2006/relationships/hyperlink" Target="https://breakthroughinitiatives.org/initiative/3" TargetMode="External"/><Relationship Id="rId19" Type="http://schemas.openxmlformats.org/officeDocument/2006/relationships/image" Target="media/image3.png"/><Relationship Id="rId18" Type="http://schemas.openxmlformats.org/officeDocument/2006/relationships/hyperlink" Target="https://www.nasa.gov/sites/default/files/thumbnails/image/afrc2016-0328-78.jp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J5ZadHq/HBfJgSJUFeqlAP+Sp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zgAciExNVdEc2tzbGM4RDRteDYwdVg5TWdxTldGRGg1VkVtX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2022-12-09T16:30:00Z</dcterms:created>
  <dc:creator>Willoughby, Shannon</dc:creator>
</cp:coreProperties>
</file>